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E63D6C1" w14:textId="77777777" w:rsidR="0095424D" w:rsidRDefault="00C545A7">
      <w:pPr>
        <w:pStyle w:val="af9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                </w:t>
      </w:r>
      <w:r>
        <w:rPr>
          <w:rFonts w:ascii="Times New Roman" w:eastAsia="Times New Roman" w:hAnsi="Times New Roman" w:cs="Times New Roman"/>
          <w:color w:val="000000" w:themeColor="text1"/>
          <w:sz w:val="26"/>
          <w:szCs w:val="26"/>
        </w:rPr>
        <w:t xml:space="preserve">       СОКРЫТИЕ ПАДЕЖА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- </w:t>
      </w:r>
      <w:r>
        <w:rPr>
          <w:rFonts w:ascii="Times New Roman" w:eastAsia="Times New Roman" w:hAnsi="Times New Roman" w:cs="Times New Roman"/>
          <w:color w:val="000000" w:themeColor="text1"/>
          <w:sz w:val="26"/>
          <w:szCs w:val="26"/>
        </w:rPr>
        <w:t xml:space="preserve">ДОПУСКАТЬ  НЕЛЬЗЯ!   </w:t>
      </w:r>
    </w:p>
    <w:p w14:paraId="07329A49" w14:textId="77777777" w:rsidR="0095424D" w:rsidRDefault="0095424D">
      <w:pPr>
        <w:pStyle w:val="af9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</w:p>
    <w:p w14:paraId="3B5592D9" w14:textId="77777777" w:rsidR="0095424D" w:rsidRDefault="00C545A7">
      <w:pPr>
        <w:pStyle w:val="af9"/>
        <w:ind w:firstLine="708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>
        <w:rPr>
          <w:rFonts w:ascii="Times New Roman" w:eastAsia="Times New Roman" w:hAnsi="Times New Roman" w:cs="Times New Roman"/>
          <w:color w:val="000000" w:themeColor="text1"/>
          <w:sz w:val="26"/>
          <w:szCs w:val="26"/>
        </w:rPr>
        <w:t xml:space="preserve">Эпизоотическое и ветеринарно-санитарное благополучие – один из факторов стабильной социально – экономической ситуации в регионе, способствует развитию и повышению рентабельности животноводства, а так же перерабатывающих отраслей.  Одновременно обеспечиваются: </w:t>
      </w:r>
    </w:p>
    <w:p w14:paraId="5CEF6EBD" w14:textId="77777777" w:rsidR="0095424D" w:rsidRDefault="00C545A7">
      <w:pPr>
        <w:pStyle w:val="af9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>
        <w:rPr>
          <w:rFonts w:ascii="Times New Roman" w:eastAsia="Times New Roman" w:hAnsi="Times New Roman" w:cs="Times New Roman"/>
          <w:color w:val="000000" w:themeColor="text1"/>
          <w:sz w:val="26"/>
          <w:szCs w:val="26"/>
        </w:rPr>
        <w:t xml:space="preserve">- защита населения от болезней, общих для человека и животных, </w:t>
      </w:r>
    </w:p>
    <w:p w14:paraId="687835AE" w14:textId="77777777" w:rsidR="0095424D" w:rsidRDefault="00C545A7">
      <w:pPr>
        <w:pStyle w:val="af9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>
        <w:rPr>
          <w:rFonts w:ascii="Times New Roman" w:eastAsia="Times New Roman" w:hAnsi="Times New Roman" w:cs="Times New Roman"/>
          <w:color w:val="000000" w:themeColor="text1"/>
          <w:sz w:val="26"/>
          <w:szCs w:val="26"/>
        </w:rPr>
        <w:t>- повышение конкурентоспособности регионального продукта по критериям ветеринарно-санитарной безопасности;</w:t>
      </w:r>
    </w:p>
    <w:p w14:paraId="66B03910" w14:textId="77777777" w:rsidR="0095424D" w:rsidRDefault="00C545A7">
      <w:pPr>
        <w:pStyle w:val="af9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>
        <w:rPr>
          <w:rFonts w:ascii="Times New Roman" w:eastAsia="Times New Roman" w:hAnsi="Times New Roman" w:cs="Times New Roman"/>
          <w:color w:val="000000" w:themeColor="text1"/>
          <w:sz w:val="26"/>
          <w:szCs w:val="26"/>
        </w:rPr>
        <w:t xml:space="preserve">- обеспечение населения  продуктами питания; </w:t>
      </w:r>
    </w:p>
    <w:p w14:paraId="118A0763" w14:textId="77777777" w:rsidR="0095424D" w:rsidRDefault="00C545A7">
      <w:pPr>
        <w:pStyle w:val="af9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>
        <w:rPr>
          <w:rFonts w:ascii="Times New Roman" w:eastAsia="Times New Roman" w:hAnsi="Times New Roman" w:cs="Times New Roman"/>
          <w:color w:val="000000" w:themeColor="text1"/>
          <w:sz w:val="26"/>
          <w:szCs w:val="26"/>
        </w:rPr>
        <w:t>- снижение рисков загрязнения окружающей среды и возникновения чрезвычайных ситуаций.</w:t>
      </w:r>
    </w:p>
    <w:p w14:paraId="774A1C01" w14:textId="77777777" w:rsidR="0095424D" w:rsidRDefault="00C545A7">
      <w:pPr>
        <w:pStyle w:val="af9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>
        <w:rPr>
          <w:rFonts w:ascii="Times New Roman" w:eastAsia="Times New Roman" w:hAnsi="Times New Roman" w:cs="Times New Roman"/>
          <w:color w:val="000000" w:themeColor="text1"/>
          <w:sz w:val="26"/>
          <w:szCs w:val="26"/>
        </w:rPr>
        <w:t xml:space="preserve">            Ветеринарно-санитарное благополучие способствует развитию общественного и индивидуального животноводства  и предпринимательской деятельности. </w:t>
      </w:r>
    </w:p>
    <w:p w14:paraId="712157A8" w14:textId="77777777" w:rsidR="0095424D" w:rsidRDefault="00C545A7">
      <w:pPr>
        <w:pStyle w:val="af9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color w:val="000000" w:themeColor="text1"/>
          <w:sz w:val="26"/>
          <w:szCs w:val="26"/>
        </w:rPr>
        <w:t>Согласно ст. 18 Закона РФ от 14 мая 1993 г. № 4979-1 "О ветеринарии" владельцы животных и производители продуктов животноводства обязаны предоставлять специалистам в области ветеринарии по их требованию животных для осмотра; немедленно извещать указанных специалистов о всех случаях внезапного падежа или одновременного массового заболевания животных, а также об их необычном поведении; до прибытия специалистов в области ветеринарии принять меры по изоляции животных, подозреваемых в заболевании.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</w:p>
    <w:p w14:paraId="272CCDA1" w14:textId="0C8CBA41" w:rsidR="0095424D" w:rsidRDefault="00C545A7">
      <w:pPr>
        <w:pStyle w:val="af9"/>
        <w:ind w:firstLine="708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>
        <w:rPr>
          <w:rFonts w:ascii="Times New Roman" w:eastAsia="Times New Roman" w:hAnsi="Times New Roman" w:cs="Times New Roman"/>
          <w:color w:val="000000" w:themeColor="text1"/>
          <w:sz w:val="26"/>
          <w:szCs w:val="26"/>
        </w:rPr>
        <w:t xml:space="preserve">Не своевременное информирование о заболевании животных может привести к распространению инфекций, которые могут быть опасны как для животных, так и для людей. </w:t>
      </w:r>
      <w:r w:rsidR="00DA47F1">
        <w:rPr>
          <w:rFonts w:ascii="Times New Roman" w:eastAsia="Times New Roman" w:hAnsi="Times New Roman" w:cs="Times New Roman"/>
          <w:color w:val="000000" w:themeColor="text1"/>
          <w:sz w:val="26"/>
          <w:szCs w:val="26"/>
        </w:rPr>
        <w:t>Так, к примеру</w:t>
      </w:r>
      <w:r>
        <w:rPr>
          <w:rFonts w:ascii="Times New Roman" w:eastAsia="Times New Roman" w:hAnsi="Times New Roman" w:cs="Times New Roman"/>
          <w:color w:val="000000" w:themeColor="text1"/>
          <w:sz w:val="26"/>
          <w:szCs w:val="26"/>
        </w:rPr>
        <w:t xml:space="preserve">, падеж животного без видимых клинических признаков, может быть причиной молниеносного течения африканской чумы свиней (далее - АЧС), сибирской язвы, а также при бешенстве.  Все  эти заболевания относятся к особо опасным болезням. </w:t>
      </w:r>
    </w:p>
    <w:p w14:paraId="7CD96E3B" w14:textId="77777777" w:rsidR="0095424D" w:rsidRDefault="00C545A7">
      <w:pPr>
        <w:pStyle w:val="af9"/>
        <w:ind w:firstLine="708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>
        <w:rPr>
          <w:rFonts w:ascii="Times New Roman" w:eastAsia="Times New Roman" w:hAnsi="Times New Roman" w:cs="Times New Roman"/>
          <w:color w:val="000000" w:themeColor="text1"/>
          <w:sz w:val="26"/>
          <w:szCs w:val="26"/>
        </w:rPr>
        <w:t xml:space="preserve">В случае гибели скота владельцы должны незамедлительно уведомить ветеринарного специалиста. Это необходимо сделать в течение 24 часов с момента смерти животного. Важно помнить, что трупы животных представляют собой источник биологической опасности и могут служить переносчиками инфекций. </w:t>
      </w:r>
    </w:p>
    <w:p w14:paraId="3C66B7FB" w14:textId="77777777" w:rsidR="0095424D" w:rsidRDefault="00C545A7">
      <w:pPr>
        <w:pStyle w:val="af9"/>
        <w:ind w:firstLine="708"/>
        <w:jc w:val="both"/>
        <w:rPr>
          <w:rFonts w:ascii="Times New Roman" w:hAnsi="Times New Roman" w:cs="Times New Roman"/>
          <w:color w:val="000000" w:themeColor="text1"/>
          <w:sz w:val="26"/>
          <w:szCs w:val="26"/>
          <w:highlight w:val="white"/>
        </w:rPr>
      </w:pPr>
      <w:r>
        <w:rPr>
          <w:rFonts w:ascii="Times New Roman" w:eastAsia="Times New Roman" w:hAnsi="Times New Roman" w:cs="Times New Roman"/>
          <w:color w:val="000000" w:themeColor="text1"/>
          <w:sz w:val="26"/>
          <w:szCs w:val="26"/>
        </w:rPr>
        <w:t xml:space="preserve">Захоронение трупов в землю в соответствии с правилами категорически запрещено, т.к. возбудители вызывающие эти болезни могут долгое время сохранять реальную угрозу заражения людей и животных. </w:t>
      </w:r>
    </w:p>
    <w:p w14:paraId="4BACFD69" w14:textId="2ABED929" w:rsidR="0095424D" w:rsidRDefault="00C545A7">
      <w:pPr>
        <w:pStyle w:val="af9"/>
        <w:ind w:firstLine="708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>
        <w:rPr>
          <w:rFonts w:ascii="Times New Roman" w:eastAsia="Times New Roman" w:hAnsi="Times New Roman" w:cs="Times New Roman"/>
          <w:color w:val="000000" w:themeColor="text1"/>
          <w:sz w:val="26"/>
          <w:szCs w:val="26"/>
          <w:highlight w:val="white"/>
        </w:rPr>
        <w:t>За сокрытие от органов ветеринарного надзора сведений о внезапном падеже, массовых заболеваниях или несвоевременное извещение предусмотрено наказание в виде административного штрафа: для граждан 3-4 тыс. рублей, для должностных лиц – 30-40 тыс. рублей, для юридических лиц – 90-100 тыс. рублей.</w:t>
      </w:r>
    </w:p>
    <w:p w14:paraId="46828E32" w14:textId="77777777" w:rsidR="0095424D" w:rsidRDefault="0095424D">
      <w:pPr>
        <w:pStyle w:val="af9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</w:p>
    <w:p w14:paraId="1995E0F8" w14:textId="77777777" w:rsidR="0095424D" w:rsidRDefault="0095424D">
      <w:pPr>
        <w:pStyle w:val="af9"/>
        <w:jc w:val="both"/>
        <w:rPr>
          <w:rFonts w:ascii="Times New Roman" w:hAnsi="Times New Roman" w:cs="Times New Roman"/>
          <w:sz w:val="24"/>
          <w:szCs w:val="24"/>
        </w:rPr>
      </w:pPr>
    </w:p>
    <w:p w14:paraId="25E4448A" w14:textId="77777777" w:rsidR="0095424D" w:rsidRDefault="0095424D">
      <w:pPr>
        <w:pStyle w:val="af9"/>
        <w:jc w:val="both"/>
        <w:rPr>
          <w:sz w:val="24"/>
          <w:szCs w:val="24"/>
        </w:rPr>
      </w:pPr>
    </w:p>
    <w:sectPr w:rsidR="0095424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7455B57" w14:textId="77777777" w:rsidR="00C545A7" w:rsidRDefault="00C545A7">
      <w:pPr>
        <w:spacing w:line="240" w:lineRule="auto"/>
      </w:pPr>
      <w:r>
        <w:separator/>
      </w:r>
    </w:p>
  </w:endnote>
  <w:endnote w:type="continuationSeparator" w:id="0">
    <w:p w14:paraId="57A76A6F" w14:textId="77777777" w:rsidR="00C545A7" w:rsidRDefault="00C545A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1262FAF" w14:textId="77777777" w:rsidR="00C545A7" w:rsidRDefault="00C545A7">
      <w:pPr>
        <w:spacing w:after="0"/>
      </w:pPr>
      <w:r>
        <w:separator/>
      </w:r>
    </w:p>
  </w:footnote>
  <w:footnote w:type="continuationSeparator" w:id="0">
    <w:p w14:paraId="2DCBA24F" w14:textId="77777777" w:rsidR="00C545A7" w:rsidRDefault="00C545A7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0E00BF5"/>
    <w:multiLevelType w:val="hybridMultilevel"/>
    <w:tmpl w:val="EB1ACA34"/>
    <w:lvl w:ilvl="0" w:tplc="DD7A12EE">
      <w:start w:val="1"/>
      <w:numFmt w:val="bullet"/>
      <w:lvlText w:val="–"/>
      <w:lvlJc w:val="left"/>
      <w:pPr>
        <w:ind w:left="709" w:hanging="360"/>
      </w:pPr>
      <w:rPr>
        <w:rFonts w:ascii="Arial" w:eastAsia="Arial" w:hAnsi="Arial" w:cs="Arial" w:hint="default"/>
      </w:rPr>
    </w:lvl>
    <w:lvl w:ilvl="1" w:tplc="7E7CBAFE">
      <w:start w:val="1"/>
      <w:numFmt w:val="bullet"/>
      <w:lvlText w:val="o"/>
      <w:lvlJc w:val="left"/>
      <w:pPr>
        <w:ind w:left="1429" w:hanging="360"/>
      </w:pPr>
      <w:rPr>
        <w:rFonts w:ascii="Courier New" w:eastAsia="Courier New" w:hAnsi="Courier New" w:cs="Courier New" w:hint="default"/>
      </w:rPr>
    </w:lvl>
    <w:lvl w:ilvl="2" w:tplc="4282CB80">
      <w:start w:val="1"/>
      <w:numFmt w:val="bullet"/>
      <w:lvlText w:val="§"/>
      <w:lvlJc w:val="left"/>
      <w:pPr>
        <w:ind w:left="2149" w:hanging="360"/>
      </w:pPr>
      <w:rPr>
        <w:rFonts w:ascii="Wingdings" w:eastAsia="Wingdings" w:hAnsi="Wingdings" w:cs="Wingdings" w:hint="default"/>
      </w:rPr>
    </w:lvl>
    <w:lvl w:ilvl="3" w:tplc="6FC2CB98">
      <w:start w:val="1"/>
      <w:numFmt w:val="bullet"/>
      <w:lvlText w:val="·"/>
      <w:lvlJc w:val="left"/>
      <w:pPr>
        <w:ind w:left="2869" w:hanging="360"/>
      </w:pPr>
      <w:rPr>
        <w:rFonts w:ascii="Symbol" w:eastAsia="Symbol" w:hAnsi="Symbol" w:cs="Symbol" w:hint="default"/>
      </w:rPr>
    </w:lvl>
    <w:lvl w:ilvl="4" w:tplc="0B5C4AAA">
      <w:start w:val="1"/>
      <w:numFmt w:val="bullet"/>
      <w:lvlText w:val="o"/>
      <w:lvlJc w:val="left"/>
      <w:pPr>
        <w:ind w:left="3589" w:hanging="360"/>
      </w:pPr>
      <w:rPr>
        <w:rFonts w:ascii="Courier New" w:eastAsia="Courier New" w:hAnsi="Courier New" w:cs="Courier New" w:hint="default"/>
      </w:rPr>
    </w:lvl>
    <w:lvl w:ilvl="5" w:tplc="F228A682">
      <w:start w:val="1"/>
      <w:numFmt w:val="bullet"/>
      <w:lvlText w:val="§"/>
      <w:lvlJc w:val="left"/>
      <w:pPr>
        <w:ind w:left="4309" w:hanging="360"/>
      </w:pPr>
      <w:rPr>
        <w:rFonts w:ascii="Wingdings" w:eastAsia="Wingdings" w:hAnsi="Wingdings" w:cs="Wingdings" w:hint="default"/>
      </w:rPr>
    </w:lvl>
    <w:lvl w:ilvl="6" w:tplc="4748205A">
      <w:start w:val="1"/>
      <w:numFmt w:val="bullet"/>
      <w:lvlText w:val="·"/>
      <w:lvlJc w:val="left"/>
      <w:pPr>
        <w:ind w:left="5029" w:hanging="360"/>
      </w:pPr>
      <w:rPr>
        <w:rFonts w:ascii="Symbol" w:eastAsia="Symbol" w:hAnsi="Symbol" w:cs="Symbol" w:hint="default"/>
      </w:rPr>
    </w:lvl>
    <w:lvl w:ilvl="7" w:tplc="8EC46C58">
      <w:start w:val="1"/>
      <w:numFmt w:val="bullet"/>
      <w:lvlText w:val="o"/>
      <w:lvlJc w:val="left"/>
      <w:pPr>
        <w:ind w:left="5749" w:hanging="360"/>
      </w:pPr>
      <w:rPr>
        <w:rFonts w:ascii="Courier New" w:eastAsia="Courier New" w:hAnsi="Courier New" w:cs="Courier New" w:hint="default"/>
      </w:rPr>
    </w:lvl>
    <w:lvl w:ilvl="8" w:tplc="D4AC6EF0">
      <w:start w:val="1"/>
      <w:numFmt w:val="bullet"/>
      <w:lvlText w:val="§"/>
      <w:lvlJc w:val="left"/>
      <w:pPr>
        <w:ind w:left="6469" w:hanging="360"/>
      </w:pPr>
      <w:rPr>
        <w:rFonts w:ascii="Wingdings" w:eastAsia="Wingdings" w:hAnsi="Wingdings" w:cs="Wingdings" w:hint="default"/>
      </w:rPr>
    </w:lvl>
  </w:abstractNum>
  <w:abstractNum w:abstractNumId="1" w15:restartNumberingAfterBreak="0">
    <w:nsid w:val="3CD90EBD"/>
    <w:multiLevelType w:val="hybridMultilevel"/>
    <w:tmpl w:val="33A0124E"/>
    <w:lvl w:ilvl="0" w:tplc="A0F4461A">
      <w:start w:val="1"/>
      <w:numFmt w:val="bullet"/>
      <w:lvlText w:val="–"/>
      <w:lvlJc w:val="left"/>
      <w:pPr>
        <w:ind w:left="709" w:hanging="360"/>
      </w:pPr>
      <w:rPr>
        <w:rFonts w:ascii="Arial" w:eastAsia="Arial" w:hAnsi="Arial" w:cs="Arial" w:hint="default"/>
      </w:rPr>
    </w:lvl>
    <w:lvl w:ilvl="1" w:tplc="B2B8D7A6">
      <w:start w:val="1"/>
      <w:numFmt w:val="bullet"/>
      <w:lvlText w:val="o"/>
      <w:lvlJc w:val="left"/>
      <w:pPr>
        <w:ind w:left="1429" w:hanging="360"/>
      </w:pPr>
      <w:rPr>
        <w:rFonts w:ascii="Courier New" w:eastAsia="Courier New" w:hAnsi="Courier New" w:cs="Courier New" w:hint="default"/>
      </w:rPr>
    </w:lvl>
    <w:lvl w:ilvl="2" w:tplc="AC4EE084">
      <w:start w:val="1"/>
      <w:numFmt w:val="bullet"/>
      <w:lvlText w:val="§"/>
      <w:lvlJc w:val="left"/>
      <w:pPr>
        <w:ind w:left="2149" w:hanging="360"/>
      </w:pPr>
      <w:rPr>
        <w:rFonts w:ascii="Wingdings" w:eastAsia="Wingdings" w:hAnsi="Wingdings" w:cs="Wingdings" w:hint="default"/>
      </w:rPr>
    </w:lvl>
    <w:lvl w:ilvl="3" w:tplc="B5DC3DAC">
      <w:start w:val="1"/>
      <w:numFmt w:val="bullet"/>
      <w:lvlText w:val="·"/>
      <w:lvlJc w:val="left"/>
      <w:pPr>
        <w:ind w:left="2869" w:hanging="360"/>
      </w:pPr>
      <w:rPr>
        <w:rFonts w:ascii="Symbol" w:eastAsia="Symbol" w:hAnsi="Symbol" w:cs="Symbol" w:hint="default"/>
      </w:rPr>
    </w:lvl>
    <w:lvl w:ilvl="4" w:tplc="4C8AD7D0">
      <w:start w:val="1"/>
      <w:numFmt w:val="bullet"/>
      <w:lvlText w:val="o"/>
      <w:lvlJc w:val="left"/>
      <w:pPr>
        <w:ind w:left="3589" w:hanging="360"/>
      </w:pPr>
      <w:rPr>
        <w:rFonts w:ascii="Courier New" w:eastAsia="Courier New" w:hAnsi="Courier New" w:cs="Courier New" w:hint="default"/>
      </w:rPr>
    </w:lvl>
    <w:lvl w:ilvl="5" w:tplc="EC482B12">
      <w:start w:val="1"/>
      <w:numFmt w:val="bullet"/>
      <w:lvlText w:val="§"/>
      <w:lvlJc w:val="left"/>
      <w:pPr>
        <w:ind w:left="4309" w:hanging="360"/>
      </w:pPr>
      <w:rPr>
        <w:rFonts w:ascii="Wingdings" w:eastAsia="Wingdings" w:hAnsi="Wingdings" w:cs="Wingdings" w:hint="default"/>
      </w:rPr>
    </w:lvl>
    <w:lvl w:ilvl="6" w:tplc="96FA8ADA">
      <w:start w:val="1"/>
      <w:numFmt w:val="bullet"/>
      <w:lvlText w:val="·"/>
      <w:lvlJc w:val="left"/>
      <w:pPr>
        <w:ind w:left="5029" w:hanging="360"/>
      </w:pPr>
      <w:rPr>
        <w:rFonts w:ascii="Symbol" w:eastAsia="Symbol" w:hAnsi="Symbol" w:cs="Symbol" w:hint="default"/>
      </w:rPr>
    </w:lvl>
    <w:lvl w:ilvl="7" w:tplc="69066408">
      <w:start w:val="1"/>
      <w:numFmt w:val="bullet"/>
      <w:lvlText w:val="o"/>
      <w:lvlJc w:val="left"/>
      <w:pPr>
        <w:ind w:left="5749" w:hanging="360"/>
      </w:pPr>
      <w:rPr>
        <w:rFonts w:ascii="Courier New" w:eastAsia="Courier New" w:hAnsi="Courier New" w:cs="Courier New" w:hint="default"/>
      </w:rPr>
    </w:lvl>
    <w:lvl w:ilvl="8" w:tplc="DB641410">
      <w:start w:val="1"/>
      <w:numFmt w:val="bullet"/>
      <w:lvlText w:val="§"/>
      <w:lvlJc w:val="left"/>
      <w:pPr>
        <w:ind w:left="6469" w:hanging="360"/>
      </w:pPr>
      <w:rPr>
        <w:rFonts w:ascii="Wingdings" w:eastAsia="Wingdings" w:hAnsi="Wingdings" w:cs="Wingdings" w:hint="default"/>
      </w:rPr>
    </w:lvl>
  </w:abstractNum>
  <w:abstractNum w:abstractNumId="2" w15:restartNumberingAfterBreak="0">
    <w:nsid w:val="638B2A9C"/>
    <w:multiLevelType w:val="hybridMultilevel"/>
    <w:tmpl w:val="9760E670"/>
    <w:lvl w:ilvl="0" w:tplc="FE4C52F0">
      <w:start w:val="1"/>
      <w:numFmt w:val="bullet"/>
      <w:lvlText w:val="–"/>
      <w:lvlJc w:val="left"/>
      <w:pPr>
        <w:ind w:left="709" w:hanging="360"/>
      </w:pPr>
      <w:rPr>
        <w:rFonts w:ascii="Arial" w:eastAsia="Arial" w:hAnsi="Arial" w:cs="Arial" w:hint="default"/>
      </w:rPr>
    </w:lvl>
    <w:lvl w:ilvl="1" w:tplc="29F4C056">
      <w:start w:val="1"/>
      <w:numFmt w:val="bullet"/>
      <w:lvlText w:val="o"/>
      <w:lvlJc w:val="left"/>
      <w:pPr>
        <w:ind w:left="1429" w:hanging="360"/>
      </w:pPr>
      <w:rPr>
        <w:rFonts w:ascii="Courier New" w:eastAsia="Courier New" w:hAnsi="Courier New" w:cs="Courier New" w:hint="default"/>
      </w:rPr>
    </w:lvl>
    <w:lvl w:ilvl="2" w:tplc="2B6C3790">
      <w:start w:val="1"/>
      <w:numFmt w:val="bullet"/>
      <w:lvlText w:val="§"/>
      <w:lvlJc w:val="left"/>
      <w:pPr>
        <w:ind w:left="2149" w:hanging="360"/>
      </w:pPr>
      <w:rPr>
        <w:rFonts w:ascii="Wingdings" w:eastAsia="Wingdings" w:hAnsi="Wingdings" w:cs="Wingdings" w:hint="default"/>
      </w:rPr>
    </w:lvl>
    <w:lvl w:ilvl="3" w:tplc="0ABE5708">
      <w:start w:val="1"/>
      <w:numFmt w:val="bullet"/>
      <w:lvlText w:val="·"/>
      <w:lvlJc w:val="left"/>
      <w:pPr>
        <w:ind w:left="2869" w:hanging="360"/>
      </w:pPr>
      <w:rPr>
        <w:rFonts w:ascii="Symbol" w:eastAsia="Symbol" w:hAnsi="Symbol" w:cs="Symbol" w:hint="default"/>
      </w:rPr>
    </w:lvl>
    <w:lvl w:ilvl="4" w:tplc="2A2C5EDC">
      <w:start w:val="1"/>
      <w:numFmt w:val="bullet"/>
      <w:lvlText w:val="o"/>
      <w:lvlJc w:val="left"/>
      <w:pPr>
        <w:ind w:left="3589" w:hanging="360"/>
      </w:pPr>
      <w:rPr>
        <w:rFonts w:ascii="Courier New" w:eastAsia="Courier New" w:hAnsi="Courier New" w:cs="Courier New" w:hint="default"/>
      </w:rPr>
    </w:lvl>
    <w:lvl w:ilvl="5" w:tplc="82546564">
      <w:start w:val="1"/>
      <w:numFmt w:val="bullet"/>
      <w:lvlText w:val="§"/>
      <w:lvlJc w:val="left"/>
      <w:pPr>
        <w:ind w:left="4309" w:hanging="360"/>
      </w:pPr>
      <w:rPr>
        <w:rFonts w:ascii="Wingdings" w:eastAsia="Wingdings" w:hAnsi="Wingdings" w:cs="Wingdings" w:hint="default"/>
      </w:rPr>
    </w:lvl>
    <w:lvl w:ilvl="6" w:tplc="0A4C53D2">
      <w:start w:val="1"/>
      <w:numFmt w:val="bullet"/>
      <w:lvlText w:val="·"/>
      <w:lvlJc w:val="left"/>
      <w:pPr>
        <w:ind w:left="5029" w:hanging="360"/>
      </w:pPr>
      <w:rPr>
        <w:rFonts w:ascii="Symbol" w:eastAsia="Symbol" w:hAnsi="Symbol" w:cs="Symbol" w:hint="default"/>
      </w:rPr>
    </w:lvl>
    <w:lvl w:ilvl="7" w:tplc="21A06E88">
      <w:start w:val="1"/>
      <w:numFmt w:val="bullet"/>
      <w:lvlText w:val="o"/>
      <w:lvlJc w:val="left"/>
      <w:pPr>
        <w:ind w:left="5749" w:hanging="360"/>
      </w:pPr>
      <w:rPr>
        <w:rFonts w:ascii="Courier New" w:eastAsia="Courier New" w:hAnsi="Courier New" w:cs="Courier New" w:hint="default"/>
      </w:rPr>
    </w:lvl>
    <w:lvl w:ilvl="8" w:tplc="F77AC05E">
      <w:start w:val="1"/>
      <w:numFmt w:val="bullet"/>
      <w:lvlText w:val="§"/>
      <w:lvlJc w:val="left"/>
      <w:pPr>
        <w:ind w:left="6469" w:hanging="360"/>
      </w:pPr>
      <w:rPr>
        <w:rFonts w:ascii="Wingdings" w:eastAsia="Wingdings" w:hAnsi="Wingdings" w:cs="Wingdings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95424D"/>
    <w:rsid w:val="0095424D"/>
    <w:rsid w:val="00C545A7"/>
    <w:rsid w:val="00DA47F1"/>
    <w:rsid w:val="00DE76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41E6E2"/>
  <w15:docId w15:val="{F6BEE1CD-20B8-483E-BFE6-03254F166E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uiPriority w:val="9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0"/>
    <w:uiPriority w:val="9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0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a0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basedOn w:val="a0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basedOn w:val="a0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rPr>
      <w:sz w:val="48"/>
      <w:szCs w:val="48"/>
    </w:rPr>
  </w:style>
  <w:style w:type="character" w:customStyle="1" w:styleId="SubtitleChar">
    <w:name w:val="Subtitle Char"/>
    <w:basedOn w:val="a0"/>
    <w:uiPriority w:val="11"/>
    <w:rPr>
      <w:sz w:val="24"/>
      <w:szCs w:val="24"/>
    </w:rPr>
  </w:style>
  <w:style w:type="character" w:customStyle="1" w:styleId="QuoteChar">
    <w:name w:val="Quote Char"/>
    <w:uiPriority w:val="29"/>
    <w:rPr>
      <w:i/>
    </w:rPr>
  </w:style>
  <w:style w:type="character" w:customStyle="1" w:styleId="IntenseQuoteChar">
    <w:name w:val="Intense Quote Char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CaptionChar">
    <w:name w:val="Caption Char"/>
    <w:uiPriority w:val="99"/>
  </w:style>
  <w:style w:type="character" w:customStyle="1" w:styleId="FootnoteTextChar">
    <w:name w:val="Footnote Text Char"/>
    <w:uiPriority w:val="99"/>
    <w:rPr>
      <w:sz w:val="18"/>
    </w:rPr>
  </w:style>
  <w:style w:type="character" w:customStyle="1" w:styleId="EndnoteTextChar">
    <w:name w:val="Endnote Text Char"/>
    <w:uiPriority w:val="99"/>
    <w:rPr>
      <w:sz w:val="20"/>
    </w:rPr>
  </w:style>
  <w:style w:type="paragraph" w:styleId="a3">
    <w:name w:val="TOC Heading"/>
    <w:uiPriority w:val="39"/>
    <w:unhideWhenUsed/>
  </w:style>
  <w:style w:type="character" w:styleId="a4">
    <w:name w:val="footnote reference"/>
    <w:basedOn w:val="a0"/>
    <w:uiPriority w:val="99"/>
    <w:unhideWhenUsed/>
    <w:rPr>
      <w:vertAlign w:val="superscript"/>
    </w:rPr>
  </w:style>
  <w:style w:type="character" w:styleId="a5">
    <w:name w:val="endnote reference"/>
    <w:basedOn w:val="a0"/>
    <w:uiPriority w:val="99"/>
    <w:semiHidden/>
    <w:unhideWhenUsed/>
    <w:rPr>
      <w:vertAlign w:val="superscript"/>
    </w:rPr>
  </w:style>
  <w:style w:type="character" w:styleId="a6">
    <w:name w:val="Hyperlink"/>
    <w:uiPriority w:val="99"/>
    <w:unhideWhenUsed/>
    <w:rPr>
      <w:color w:val="0000FF" w:themeColor="hyperlink"/>
      <w:u w:val="single"/>
    </w:rPr>
  </w:style>
  <w:style w:type="paragraph" w:styleId="a7">
    <w:name w:val="Balloon Text"/>
    <w:basedOn w:val="a"/>
    <w:link w:val="a8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a9">
    <w:name w:val="endnote text"/>
    <w:basedOn w:val="a"/>
    <w:link w:val="aa"/>
    <w:uiPriority w:val="99"/>
    <w:semiHidden/>
    <w:unhideWhenUsed/>
    <w:pPr>
      <w:spacing w:after="0" w:line="240" w:lineRule="auto"/>
    </w:pPr>
    <w:rPr>
      <w:sz w:val="20"/>
    </w:rPr>
  </w:style>
  <w:style w:type="paragraph" w:styleId="ab">
    <w:name w:val="caption"/>
    <w:basedOn w:val="a"/>
    <w:next w:val="a"/>
    <w:uiPriority w:val="35"/>
    <w:semiHidden/>
    <w:unhideWhenUsed/>
    <w:qFormat/>
    <w:rPr>
      <w:b/>
      <w:bCs/>
      <w:color w:val="4F81BD" w:themeColor="accent1"/>
      <w:sz w:val="18"/>
      <w:szCs w:val="18"/>
    </w:rPr>
  </w:style>
  <w:style w:type="paragraph" w:styleId="ac">
    <w:name w:val="footnote text"/>
    <w:basedOn w:val="a"/>
    <w:link w:val="ad"/>
    <w:uiPriority w:val="99"/>
    <w:semiHidden/>
    <w:unhideWhenUsed/>
    <w:pPr>
      <w:spacing w:after="40" w:line="240" w:lineRule="auto"/>
    </w:pPr>
    <w:rPr>
      <w:sz w:val="18"/>
    </w:r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ae">
    <w:name w:val="header"/>
    <w:basedOn w:val="a"/>
    <w:link w:val="af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11">
    <w:name w:val="toc 1"/>
    <w:basedOn w:val="a"/>
    <w:next w:val="a"/>
    <w:uiPriority w:val="39"/>
    <w:unhideWhenUsed/>
    <w:pPr>
      <w:spacing w:after="57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af0">
    <w:name w:val="table of figures"/>
    <w:basedOn w:val="a"/>
    <w:next w:val="a"/>
    <w:uiPriority w:val="99"/>
    <w:unhideWhenUsed/>
    <w:pPr>
      <w:spacing w:after="0"/>
    </w:pPr>
  </w:style>
  <w:style w:type="paragraph" w:styleId="31">
    <w:name w:val="toc 3"/>
    <w:basedOn w:val="a"/>
    <w:next w:val="a"/>
    <w:uiPriority w:val="39"/>
    <w:unhideWhenUsed/>
    <w:pPr>
      <w:spacing w:after="57"/>
      <w:ind w:left="567"/>
    </w:pPr>
  </w:style>
  <w:style w:type="paragraph" w:styleId="21">
    <w:name w:val="toc 2"/>
    <w:basedOn w:val="a"/>
    <w:next w:val="a"/>
    <w:uiPriority w:val="39"/>
    <w:unhideWhenUsed/>
    <w:pPr>
      <w:spacing w:after="57"/>
      <w:ind w:left="283"/>
    </w:pPr>
  </w:style>
  <w:style w:type="paragraph" w:styleId="41">
    <w:name w:val="toc 4"/>
    <w:basedOn w:val="a"/>
    <w:next w:val="a"/>
    <w:uiPriority w:val="39"/>
    <w:unhideWhenUsed/>
    <w:pPr>
      <w:spacing w:after="57"/>
      <w:ind w:left="850"/>
    </w:pPr>
  </w:style>
  <w:style w:type="paragraph" w:styleId="51">
    <w:name w:val="toc 5"/>
    <w:basedOn w:val="a"/>
    <w:next w:val="a"/>
    <w:uiPriority w:val="39"/>
    <w:unhideWhenUsed/>
    <w:pPr>
      <w:spacing w:after="57"/>
      <w:ind w:left="1134"/>
    </w:pPr>
  </w:style>
  <w:style w:type="paragraph" w:styleId="af1">
    <w:name w:val="Title"/>
    <w:basedOn w:val="a"/>
    <w:next w:val="a"/>
    <w:link w:val="af2"/>
    <w:uiPriority w:val="10"/>
    <w:qFormat/>
    <w:pPr>
      <w:spacing w:before="300"/>
      <w:contextualSpacing/>
    </w:pPr>
    <w:rPr>
      <w:sz w:val="48"/>
      <w:szCs w:val="48"/>
    </w:rPr>
  </w:style>
  <w:style w:type="paragraph" w:styleId="af3">
    <w:name w:val="footer"/>
    <w:basedOn w:val="a"/>
    <w:link w:val="af4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paragraph" w:styleId="af5">
    <w:name w:val="Subtitle"/>
    <w:basedOn w:val="a"/>
    <w:next w:val="a"/>
    <w:link w:val="af6"/>
    <w:uiPriority w:val="11"/>
    <w:qFormat/>
    <w:pPr>
      <w:spacing w:before="200"/>
    </w:pPr>
    <w:rPr>
      <w:sz w:val="24"/>
      <w:szCs w:val="24"/>
    </w:rPr>
  </w:style>
  <w:style w:type="table" w:styleId="af7">
    <w:name w:val="Table Grid"/>
    <w:basedOn w:val="a1"/>
    <w:uiPriority w:val="5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f8">
    <w:name w:val="List Paragraph"/>
    <w:basedOn w:val="a"/>
    <w:uiPriority w:val="34"/>
    <w:qFormat/>
    <w:pPr>
      <w:ind w:left="720"/>
      <w:contextualSpacing/>
    </w:pPr>
  </w:style>
  <w:style w:type="paragraph" w:styleId="af9">
    <w:name w:val="No Spacing"/>
    <w:uiPriority w:val="1"/>
    <w:qFormat/>
    <w:rPr>
      <w:sz w:val="22"/>
      <w:szCs w:val="22"/>
      <w:lang w:eastAsia="en-US"/>
    </w:rPr>
  </w:style>
  <w:style w:type="character" w:customStyle="1" w:styleId="af2">
    <w:name w:val="Заголовок Знак"/>
    <w:basedOn w:val="a0"/>
    <w:link w:val="af1"/>
    <w:uiPriority w:val="10"/>
    <w:rPr>
      <w:sz w:val="48"/>
      <w:szCs w:val="48"/>
    </w:rPr>
  </w:style>
  <w:style w:type="character" w:customStyle="1" w:styleId="af6">
    <w:name w:val="Подзаголовок Знак"/>
    <w:basedOn w:val="a0"/>
    <w:link w:val="af5"/>
    <w:uiPriority w:val="11"/>
    <w:rPr>
      <w:sz w:val="24"/>
      <w:szCs w:val="24"/>
    </w:rPr>
  </w:style>
  <w:style w:type="paragraph" w:styleId="22">
    <w:name w:val="Quote"/>
    <w:basedOn w:val="a"/>
    <w:next w:val="a"/>
    <w:link w:val="23"/>
    <w:uiPriority w:val="29"/>
    <w:qFormat/>
    <w:pPr>
      <w:ind w:left="720" w:right="720"/>
    </w:pPr>
    <w:rPr>
      <w:i/>
    </w:rPr>
  </w:style>
  <w:style w:type="character" w:customStyle="1" w:styleId="23">
    <w:name w:val="Цитата 2 Знак"/>
    <w:link w:val="22"/>
    <w:uiPriority w:val="29"/>
    <w:rPr>
      <w:i/>
    </w:rPr>
  </w:style>
  <w:style w:type="paragraph" w:styleId="afa">
    <w:name w:val="Intense Quote"/>
    <w:basedOn w:val="a"/>
    <w:next w:val="a"/>
    <w:link w:val="afb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fb">
    <w:name w:val="Выделенная цитата Знак"/>
    <w:link w:val="afa"/>
    <w:uiPriority w:val="30"/>
    <w:rPr>
      <w:i/>
    </w:rPr>
  </w:style>
  <w:style w:type="character" w:customStyle="1" w:styleId="af">
    <w:name w:val="Верхний колонтитул Знак"/>
    <w:basedOn w:val="a0"/>
    <w:link w:val="ae"/>
    <w:uiPriority w:val="99"/>
  </w:style>
  <w:style w:type="character" w:customStyle="1" w:styleId="FooterChar">
    <w:name w:val="Footer Char"/>
    <w:basedOn w:val="a0"/>
    <w:uiPriority w:val="99"/>
  </w:style>
  <w:style w:type="character" w:customStyle="1" w:styleId="af4">
    <w:name w:val="Нижний колонтитул Знак"/>
    <w:link w:val="af3"/>
    <w:uiPriority w:val="99"/>
  </w:style>
  <w:style w:type="table" w:customStyle="1" w:styleId="TableGridLight">
    <w:name w:val="Table Grid Light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110">
    <w:name w:val="Таблица простая 11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210">
    <w:name w:val="Таблица простая 21"/>
    <w:basedOn w:val="a1"/>
    <w:uiPriority w:val="59"/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0">
    <w:name w:val="Таблица простая 31"/>
    <w:basedOn w:val="a1"/>
    <w:uiPriority w:val="99"/>
    <w:tblPr/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410">
    <w:name w:val="Таблица простая 41"/>
    <w:basedOn w:val="a1"/>
    <w:uiPriority w:val="99"/>
    <w:tblPr/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510">
    <w:name w:val="Таблица простая 51"/>
    <w:basedOn w:val="a1"/>
    <w:uiPriority w:val="99"/>
    <w:tblPr/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-11">
    <w:name w:val="Таблица-сетка 1 светлая1"/>
    <w:basedOn w:val="a1"/>
    <w:uiPriority w:val="99"/>
    <w:tblPr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tblPr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tblPr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tblPr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tblPr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tblPr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tblPr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-21">
    <w:name w:val="Таблица-сетка 21"/>
    <w:basedOn w:val="a1"/>
    <w:uiPriority w:val="99"/>
    <w:tblPr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tblPr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tblPr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tblPr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tblPr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tblPr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tblPr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31">
    <w:name w:val="Таблица-сетка 31"/>
    <w:basedOn w:val="a1"/>
    <w:uiPriority w:val="99"/>
    <w:tblPr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tblPr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tblPr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tblPr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tblPr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tblPr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tblPr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41">
    <w:name w:val="Таблица-сетка 41"/>
    <w:basedOn w:val="a1"/>
    <w:uiPriority w:val="59"/>
    <w:tblPr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tblPr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tblPr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tblPr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tblPr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tblPr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tblPr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51">
    <w:name w:val="Таблица-сетка 5 темная1"/>
    <w:basedOn w:val="a1"/>
    <w:uiPriority w:val="99"/>
    <w:tblPr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tblPr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tblPr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tblPr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tblPr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tblPr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tblPr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-61">
    <w:name w:val="Таблица-сетка 6 цветная1"/>
    <w:basedOn w:val="a1"/>
    <w:uiPriority w:val="99"/>
    <w:tblPr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/>
      </w:rPr>
    </w:tblStylePr>
    <w:tblStylePr w:type="firstCol">
      <w:rPr>
        <w:b/>
        <w:color w:val="7F7F7F" w:themeColor="text1" w:themeTint="80"/>
      </w:rPr>
    </w:tblStylePr>
    <w:tblStylePr w:type="lastCol">
      <w:rPr>
        <w:b/>
        <w:color w:val="7F7F7F" w:themeColor="text1" w:themeTint="80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tblPr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/>
      </w:rPr>
    </w:tblStylePr>
    <w:tblStylePr w:type="firstCol">
      <w:rPr>
        <w:b/>
        <w:color w:val="A6BFDD" w:themeColor="accent1" w:themeTint="80"/>
      </w:rPr>
    </w:tblStylePr>
    <w:tblStylePr w:type="lastCol">
      <w:rPr>
        <w:b/>
        <w:color w:val="A6BFDD" w:themeColor="accent1" w:themeTint="80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tblPr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A9796" w:themeColor="accent2" w:themeTint="96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A9796" w:themeColor="accent2" w:themeTint="96"/>
      </w:rPr>
    </w:tblStylePr>
    <w:tblStylePr w:type="firstCol">
      <w:rPr>
        <w:b/>
        <w:color w:val="DA9796" w:themeColor="accent2" w:themeTint="96"/>
      </w:rPr>
    </w:tblStylePr>
    <w:tblStylePr w:type="lastCol">
      <w:rPr>
        <w:b/>
        <w:color w:val="DA9796" w:themeColor="accent2" w:themeTint="96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A9796" w:themeColor="accent2" w:themeTint="96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A9796" w:themeColor="accent2" w:themeTint="96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tblPr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BBB59" w:themeColor="accent3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BBB59" w:themeColor="accent3"/>
      </w:rPr>
    </w:tblStylePr>
    <w:tblStylePr w:type="firstCol">
      <w:rPr>
        <w:b/>
        <w:color w:val="9BBB59" w:themeColor="accent3"/>
      </w:rPr>
    </w:tblStylePr>
    <w:tblStylePr w:type="lastCol">
      <w:rPr>
        <w:b/>
        <w:color w:val="9BBB59" w:themeColor="accent3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BBB59" w:themeColor="accent3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BBB59" w:themeColor="accent3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tblPr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7" w:themeColor="accent4" w:themeTint="99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7" w:themeColor="accent4" w:themeTint="99"/>
      </w:rPr>
    </w:tblStylePr>
    <w:tblStylePr w:type="firstCol">
      <w:rPr>
        <w:b/>
        <w:color w:val="B2A1C7" w:themeColor="accent4" w:themeTint="99"/>
      </w:rPr>
    </w:tblStylePr>
    <w:tblStylePr w:type="lastCol">
      <w:rPr>
        <w:b/>
        <w:color w:val="B2A1C7" w:themeColor="accent4" w:themeTint="99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7" w:themeColor="accent4" w:themeTint="99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7" w:themeColor="accent4" w:themeTint="99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tblPr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678" w:themeColor="accent5" w:themeShade="94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678" w:themeColor="accent5" w:themeShade="94"/>
      </w:rPr>
    </w:tblStylePr>
    <w:tblStylePr w:type="firstCol">
      <w:rPr>
        <w:b/>
        <w:color w:val="266678" w:themeColor="accent5" w:themeShade="94"/>
      </w:rPr>
    </w:tblStylePr>
    <w:tblStylePr w:type="lastCol">
      <w:rPr>
        <w:b/>
        <w:color w:val="266678" w:themeColor="accent5" w:themeShade="94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678" w:themeColor="accent5" w:themeShade="94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678" w:themeColor="accent5" w:themeShade="94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tblPr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678" w:themeColor="accent5" w:themeShade="94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678" w:themeColor="accent5" w:themeShade="94"/>
      </w:rPr>
    </w:tblStylePr>
    <w:tblStylePr w:type="firstCol">
      <w:rPr>
        <w:b/>
        <w:color w:val="266678" w:themeColor="accent5" w:themeShade="94"/>
      </w:rPr>
    </w:tblStylePr>
    <w:tblStylePr w:type="lastCol">
      <w:rPr>
        <w:b/>
        <w:color w:val="266678" w:themeColor="accent5" w:themeShade="94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678" w:themeColor="accent5" w:themeShade="94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678" w:themeColor="accent5" w:themeShade="94"/>
        <w:sz w:val="22"/>
      </w:rPr>
    </w:tblStylePr>
  </w:style>
  <w:style w:type="table" w:customStyle="1" w:styleId="-71">
    <w:name w:val="Таблица-сетка 7 цветная1"/>
    <w:basedOn w:val="a1"/>
    <w:uiPriority w:val="99"/>
    <w:tblPr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tblPr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Arial" w:hAnsi="Arial"/>
        <w:b/>
        <w:color w:val="A6BFDD" w:themeColor="accent1" w:themeTint="80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tblPr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Arial" w:hAnsi="Arial"/>
        <w:b/>
        <w:color w:val="DA9796" w:themeColor="accent2" w:themeTint="9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A9796" w:themeColor="accent2" w:themeTint="96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A9796" w:themeColor="accent2" w:themeTint="9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A9796" w:themeColor="accent2" w:themeTint="96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A9796" w:themeColor="accent2" w:themeTint="96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A9796" w:themeColor="accent2" w:themeTint="96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tblPr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Arial" w:hAnsi="Arial"/>
        <w:b/>
        <w:color w:val="9BBB59" w:themeColor="accent3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BBB59" w:themeColor="accent3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BBB59" w:themeColor="accent3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BBB59" w:themeColor="accent3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BBB59" w:themeColor="accent3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BBB59" w:themeColor="accent3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tblPr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Arial" w:hAnsi="Arial"/>
        <w:b/>
        <w:color w:val="B2A1C7" w:themeColor="accent4" w:themeTint="9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7" w:themeColor="accent4" w:themeTint="99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7" w:themeColor="accent4" w:themeTint="9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7" w:themeColor="accent4" w:themeTint="99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7" w:themeColor="accent4" w:themeTint="99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7" w:themeColor="accent4" w:themeTint="99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tblPr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266678" w:themeColor="accent5" w:themeShade="94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678" w:themeColor="accent5" w:themeShade="94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678" w:themeColor="accent5" w:themeShade="94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678" w:themeColor="accent5" w:themeShade="94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678" w:themeColor="accent5" w:themeShade="94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678" w:themeColor="accent5" w:themeShade="94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tblPr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B05307" w:themeColor="accent6" w:themeShade="94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05307" w:themeColor="accent6" w:themeShade="94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05307" w:themeColor="accent6" w:themeShade="94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05307" w:themeColor="accent6" w:themeShade="94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05307" w:themeColor="accent6" w:themeShade="94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05307" w:themeColor="accent6" w:themeShade="94"/>
        <w:sz w:val="22"/>
      </w:rPr>
    </w:tblStylePr>
  </w:style>
  <w:style w:type="table" w:customStyle="1" w:styleId="-110">
    <w:name w:val="Список-таблица 1 светлая1"/>
    <w:basedOn w:val="a1"/>
    <w:uiPriority w:val="99"/>
    <w:tblPr/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tblPr/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tblPr/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tblPr/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tblPr/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tblPr/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tblPr/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210">
    <w:name w:val="Список-таблица 21"/>
    <w:basedOn w:val="a1"/>
    <w:uiPriority w:val="99"/>
    <w:tblPr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tblPr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tblPr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tblPr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tblPr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tblPr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tblPr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310">
    <w:name w:val="Список-таблица 31"/>
    <w:basedOn w:val="a1"/>
    <w:uiPriority w:val="99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tblPr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tblPr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tblPr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tblPr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tblPr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tblPr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-410">
    <w:name w:val="Список-таблица 41"/>
    <w:basedOn w:val="a1"/>
    <w:uiPriority w:val="99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tblPr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tblPr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tblPr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tblPr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tblPr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tblPr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510">
    <w:name w:val="Список-таблица 5 темная1"/>
    <w:basedOn w:val="a1"/>
    <w:uiPriority w:val="99"/>
    <w:tblPr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tblPr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tblPr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tblPr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tblPr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tblPr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tblPr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-610">
    <w:name w:val="Список-таблица 6 цветная1"/>
    <w:basedOn w:val="a1"/>
    <w:uiPriority w:val="99"/>
    <w:tblPr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tblPr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0" w:themeColor="accent1" w:themeShade="94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0" w:themeColor="accent1" w:themeShade="94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0" w:themeColor="accent1" w:themeShade="94"/>
      </w:rPr>
    </w:tblStylePr>
    <w:tblStylePr w:type="lastCol">
      <w:rPr>
        <w:b/>
        <w:color w:val="2A4A70" w:themeColor="accent1" w:themeShade="94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0" w:themeColor="accent1" w:themeShade="94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0" w:themeColor="accent1" w:themeShade="94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tblPr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A9796" w:themeColor="accent2" w:themeTint="96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A9796" w:themeColor="accent2" w:themeTint="96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A9796" w:themeColor="accent2" w:themeTint="96"/>
      </w:rPr>
    </w:tblStylePr>
    <w:tblStylePr w:type="lastCol">
      <w:rPr>
        <w:b/>
        <w:color w:val="DA9796" w:themeColor="accent2" w:themeTint="96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A9796" w:themeColor="accent2" w:themeTint="96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A9796" w:themeColor="accent2" w:themeTint="96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tblPr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2D69B" w:themeColor="accent3" w:themeTint="99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2D69B" w:themeColor="accent3" w:themeTint="99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2D69B" w:themeColor="accent3" w:themeTint="99"/>
      </w:rPr>
    </w:tblStylePr>
    <w:tblStylePr w:type="lastCol">
      <w:rPr>
        <w:b/>
        <w:color w:val="C2D69B" w:themeColor="accent3" w:themeTint="99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2D69B" w:themeColor="accent3" w:themeTint="99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2D69B" w:themeColor="accent3" w:themeTint="99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tblPr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7" w:themeColor="accent4" w:themeTint="99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7" w:themeColor="accent4" w:themeTint="99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7" w:themeColor="accent4" w:themeTint="99"/>
      </w:rPr>
    </w:tblStylePr>
    <w:tblStylePr w:type="lastCol">
      <w:rPr>
        <w:b/>
        <w:color w:val="B2A1C7" w:themeColor="accent4" w:themeTint="99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7" w:themeColor="accent4" w:themeTint="99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7" w:themeColor="accent4" w:themeTint="99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tblPr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DDC" w:themeColor="accent5" w:themeTint="99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DDC" w:themeColor="accent5" w:themeTint="99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DDC" w:themeColor="accent5" w:themeTint="99"/>
      </w:rPr>
    </w:tblStylePr>
    <w:tblStylePr w:type="lastCol">
      <w:rPr>
        <w:b/>
        <w:color w:val="92CDDC" w:themeColor="accent5" w:themeTint="99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DDC" w:themeColor="accent5" w:themeTint="99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DDC" w:themeColor="accent5" w:themeTint="99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tblPr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BF8F" w:themeColor="accent6" w:themeTint="99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BF8F" w:themeColor="accent6" w:themeTint="99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BF8F" w:themeColor="accent6" w:themeTint="99"/>
      </w:rPr>
    </w:tblStylePr>
    <w:tblStylePr w:type="lastCol">
      <w:rPr>
        <w:b/>
        <w:color w:val="FABF8F" w:themeColor="accent6" w:themeTint="99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BF8F" w:themeColor="accent6" w:themeTint="99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BF8F" w:themeColor="accent6" w:themeTint="99"/>
        <w:sz w:val="22"/>
      </w:rPr>
    </w:tblStylePr>
  </w:style>
  <w:style w:type="table" w:customStyle="1" w:styleId="-710">
    <w:name w:val="Список-таблица 7 цветная1"/>
    <w:basedOn w:val="a1"/>
    <w:uiPriority w:val="99"/>
    <w:tblPr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tblPr>
      <w:tblBorders>
        <w:right w:val="single" w:sz="4" w:space="0" w:color="4F81BD" w:themeColor="accent1"/>
      </w:tblBorders>
    </w:tblPr>
    <w:tblStylePr w:type="firstRow">
      <w:rPr>
        <w:rFonts w:ascii="Arial" w:hAnsi="Arial"/>
        <w:i/>
        <w:color w:val="2A4A70" w:themeColor="accent1" w:themeShade="94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0" w:themeColor="accent1" w:themeShade="94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0" w:themeColor="accent1" w:themeShade="94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0" w:themeColor="accent1" w:themeShade="94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0" w:themeColor="accent1" w:themeShade="94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0" w:themeColor="accent1" w:themeShade="94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tblPr>
      <w:tblBorders>
        <w:right w:val="single" w:sz="4" w:space="0" w:color="D99695" w:themeColor="accent2" w:themeTint="97"/>
      </w:tblBorders>
    </w:tblPr>
    <w:tblStylePr w:type="firstRow">
      <w:rPr>
        <w:rFonts w:ascii="Arial" w:hAnsi="Arial"/>
        <w:i/>
        <w:color w:val="DA9796" w:themeColor="accent2" w:themeTint="9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A9796" w:themeColor="accent2" w:themeTint="96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A9796" w:themeColor="accent2" w:themeTint="9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A9796" w:themeColor="accent2" w:themeTint="96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A9796" w:themeColor="accent2" w:themeTint="96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A9796" w:themeColor="accent2" w:themeTint="96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tblPr>
      <w:tblBorders>
        <w:right w:val="single" w:sz="4" w:space="0" w:color="C3D69B" w:themeColor="accent3" w:themeTint="98"/>
      </w:tblBorders>
    </w:tblPr>
    <w:tblStylePr w:type="firstRow">
      <w:rPr>
        <w:rFonts w:ascii="Arial" w:hAnsi="Arial"/>
        <w:i/>
        <w:color w:val="C2D69B" w:themeColor="accent3" w:themeTint="9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2D69B" w:themeColor="accent3" w:themeTint="99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2D69B" w:themeColor="accent3" w:themeTint="9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2D69B" w:themeColor="accent3" w:themeTint="99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2D69B" w:themeColor="accent3" w:themeTint="99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2D69B" w:themeColor="accent3" w:themeTint="99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tblPr>
      <w:tblBorders>
        <w:right w:val="single" w:sz="4" w:space="0" w:color="B2A1C6" w:themeColor="accent4" w:themeTint="9A"/>
      </w:tblBorders>
    </w:tblPr>
    <w:tblStylePr w:type="firstRow">
      <w:rPr>
        <w:rFonts w:ascii="Arial" w:hAnsi="Arial"/>
        <w:i/>
        <w:color w:val="B2A1C7" w:themeColor="accent4" w:themeTint="9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7" w:themeColor="accent4" w:themeTint="99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7" w:themeColor="accent4" w:themeTint="9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7" w:themeColor="accent4" w:themeTint="99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7" w:themeColor="accent4" w:themeTint="99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7" w:themeColor="accent4" w:themeTint="99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tblPr>
      <w:tblBorders>
        <w:right w:val="single" w:sz="4" w:space="0" w:color="92CCDC" w:themeColor="accent5" w:themeTint="9A"/>
      </w:tblBorders>
    </w:tblPr>
    <w:tblStylePr w:type="firstRow">
      <w:rPr>
        <w:rFonts w:ascii="Arial" w:hAnsi="Arial"/>
        <w:i/>
        <w:color w:val="92CDDC" w:themeColor="accent5" w:themeTint="9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DDC" w:themeColor="accent5" w:themeTint="99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DDC" w:themeColor="accent5" w:themeTint="9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DDC" w:themeColor="accent5" w:themeTint="99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DDC" w:themeColor="accent5" w:themeTint="99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DDC" w:themeColor="accent5" w:themeTint="99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tblPr>
      <w:tblBorders>
        <w:right w:val="single" w:sz="4" w:space="0" w:color="FAC090" w:themeColor="accent6" w:themeTint="98"/>
      </w:tblBorders>
    </w:tblPr>
    <w:tblStylePr w:type="firstRow">
      <w:rPr>
        <w:rFonts w:ascii="Arial" w:hAnsi="Arial"/>
        <w:i/>
        <w:color w:val="FABF8F" w:themeColor="accent6" w:themeTint="9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BF8F" w:themeColor="accent6" w:themeTint="99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BF8F" w:themeColor="accent6" w:themeTint="9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BF8F" w:themeColor="accent6" w:themeTint="99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BF8F" w:themeColor="accent6" w:themeTint="99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BF8F" w:themeColor="accent6" w:themeTint="99"/>
        <w:sz w:val="22"/>
      </w:rPr>
    </w:tblStylePr>
  </w:style>
  <w:style w:type="table" w:customStyle="1" w:styleId="Lined-Accent">
    <w:name w:val="Lined - Accent"/>
    <w:basedOn w:val="a1"/>
    <w:uiPriority w:val="99"/>
    <w:rPr>
      <w:color w:val="404040"/>
    </w:rPr>
    <w:tblPr/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rPr>
      <w:color w:val="404040"/>
    </w:rPr>
    <w:tblPr/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rPr>
      <w:color w:val="404040"/>
    </w:rPr>
    <w:tblPr/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rPr>
      <w:color w:val="404040"/>
    </w:rPr>
    <w:tblPr/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rPr>
      <w:color w:val="404040"/>
    </w:rPr>
    <w:tblPr/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rPr>
      <w:color w:val="404040"/>
    </w:rPr>
    <w:tblPr/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rPr>
      <w:color w:val="404040"/>
    </w:rPr>
    <w:tblPr/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Pr>
      <w:color w:val="404040"/>
    </w:rPr>
    <w:tblPr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rPr>
      <w:color w:val="404040"/>
    </w:rPr>
    <w:tblPr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Pr>
      <w:color w:val="404040"/>
    </w:rPr>
    <w:tblPr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Pr>
      <w:color w:val="404040"/>
    </w:rPr>
    <w:tblPr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Pr>
      <w:color w:val="404040"/>
    </w:rPr>
    <w:tblPr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Pr>
      <w:color w:val="404040"/>
    </w:rPr>
    <w:tblPr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Pr>
      <w:color w:val="404040"/>
    </w:rPr>
    <w:tblPr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tblPr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tblPr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tblPr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tblPr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tblPr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tblPr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tblPr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customStyle="1" w:styleId="ad">
    <w:name w:val="Текст сноски Знак"/>
    <w:link w:val="ac"/>
    <w:uiPriority w:val="99"/>
    <w:rPr>
      <w:sz w:val="18"/>
    </w:rPr>
  </w:style>
  <w:style w:type="character" w:customStyle="1" w:styleId="aa">
    <w:name w:val="Текст концевой сноски Знак"/>
    <w:link w:val="a9"/>
    <w:uiPriority w:val="99"/>
    <w:rPr>
      <w:sz w:val="20"/>
    </w:rPr>
  </w:style>
  <w:style w:type="paragraph" w:customStyle="1" w:styleId="12">
    <w:name w:val="Заголовок оглавления1"/>
    <w:uiPriority w:val="39"/>
    <w:unhideWhenUsed/>
    <w:pPr>
      <w:spacing w:after="200" w:line="276" w:lineRule="auto"/>
    </w:pPr>
    <w:rPr>
      <w:sz w:val="22"/>
      <w:szCs w:val="22"/>
      <w:lang w:eastAsia="en-US"/>
    </w:rPr>
  </w:style>
  <w:style w:type="character" w:customStyle="1" w:styleId="a8">
    <w:name w:val="Текст выноски Знак"/>
    <w:basedOn w:val="a0"/>
    <w:link w:val="a7"/>
    <w:uiPriority w:val="99"/>
    <w:semiHidden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368</Words>
  <Characters>2101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Наталья Александровна Калугина</dc:creator>
  <cp:lastModifiedBy>Юлия Сафонова</cp:lastModifiedBy>
  <cp:revision>3</cp:revision>
  <dcterms:created xsi:type="dcterms:W3CDTF">2025-09-23T05:49:00Z</dcterms:created>
  <dcterms:modified xsi:type="dcterms:W3CDTF">2025-12-10T04:22:00Z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1049-12.2.0.21936</vt:lpwstr>
  </property>
  <property fmtid="{D5CDD505-2E9C-101B-9397-08002B2CF9AE}" pid="3" name="ICV">
    <vt:lpwstr>DDF28785FE534249A7D8687341EC676A_13</vt:lpwstr>
  </property>
</Properties>
</file>